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A6783" w:rsidRPr="007A6783" w:rsidTr="007A6783">
        <w:trPr>
          <w:tblCellSpacing w:w="0" w:type="dxa"/>
        </w:trPr>
        <w:tc>
          <w:tcPr>
            <w:tcW w:w="0" w:type="auto"/>
            <w:shd w:val="clear" w:color="auto" w:fill="EBEBEB"/>
            <w:hideMark/>
          </w:tcPr>
          <w:tbl>
            <w:tblPr>
              <w:tblW w:w="87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7A6783" w:rsidRPr="007A678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BEBEB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4"/>
                  </w:tblGrid>
                  <w:tr w:rsidR="007A6783" w:rsidRPr="007A678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:rsidR="007A6783" w:rsidRPr="007A6783" w:rsidRDefault="007A6783" w:rsidP="0076178D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Исх</w:t>
                        </w:r>
                        <w:proofErr w:type="spellEnd"/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№ 03/2021от 01.03.2021г</w:t>
                        </w:r>
                        <w:bookmarkStart w:id="0" w:name="_GoBack"/>
                        <w:bookmarkEnd w:id="0"/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ru-RU"/>
                          </w:rPr>
                          <w:t>Уважаемый руководитель!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Приглашаем вас на </w:t>
                        </w: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специальный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вебинар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ru-RU"/>
                          </w:rPr>
                          <w:t>«Демонстрационный экзамен как новый формат подведения итогов обучения в профессиональных образовательных организациях 2021г»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который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состоится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  <w:lang w:eastAsia="ru-RU"/>
                          </w:rPr>
                          <w:t>11 марта 2021г с 11:00 до 14:00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по Московскому времени.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На курсе слушателей познакомят со всеми сложностями и особенностями организации и проведения демонстрационного экзамена на основе различных моделей реализации. Дается обзор нормативно-методической и информации и правовые аспекты реализации процесса</w:t>
                        </w: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  <w:lang w:eastAsia="ru-RU"/>
                          </w:rPr>
                          <w:t>Эксперт: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Акимов Станислав Сергеевич</w:t>
                        </w: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кандидат педагогических наук</w:t>
                        </w:r>
                        <w:r w:rsidR="000A1D3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доцент кафедры педагогики и психологии профессионального образования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Института экономики и социальных технологий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ФГБОУ </w:t>
                        </w: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ВО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"Санкт-Петербургский государственный университет промышленных технологий и дизайна",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аккредитированный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эксперт в области демонстрационного экзамена</w:t>
                        </w: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212529"/>
                            <w:sz w:val="21"/>
                            <w:szCs w:val="21"/>
                            <w:u w:val="single"/>
                            <w:lang w:eastAsia="ru-RU"/>
                          </w:rPr>
                          <w:t xml:space="preserve">Курс предназначен </w:t>
                        </w: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212529"/>
                            <w:sz w:val="21"/>
                            <w:szCs w:val="21"/>
                            <w:u w:val="single"/>
                            <w:lang w:eastAsia="ru-RU"/>
                          </w:rPr>
                          <w:t>для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212529"/>
                            <w:sz w:val="21"/>
                            <w:szCs w:val="21"/>
                            <w:u w:val="single"/>
                            <w:lang w:eastAsia="ru-RU"/>
                          </w:rPr>
                          <w:t>: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212529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Руководители учебных отделов и служб, председатели цикловых комиссий образовательных организаций СПО.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  <w:lang w:eastAsia="ru-RU"/>
                          </w:rPr>
                          <w:t>Подробное описание программы: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Нормативно-методическое и информационное сопровождение организации и проведения демонстрационного экзамена (ДЭ).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Место профессионального образования в системе квалификации. Национальный проект «Образование». Федеральный проект «Молодые профессионалы». Приоритеты развития СПО.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Международные практики.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Нормативная рамка ГИА по образовательным программам СПО. Методические рекомендации о проведении аттестации с использованием механизма демонстрационного экзамена (распоряжение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Минпросвещения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РФ № Р-42). Методические рекомендации по организации и проведению демонстрационного экзамена в составе государственной итоговой аттестации по программам среднего профессионального образования (письмо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Минобрнауки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РФ № 06-1090). </w:t>
                        </w:r>
                        <w:proofErr w:type="gram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Разъяснения приказа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Минобрнауки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РФ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№ 968»).</w:t>
                        </w:r>
                        <w:proofErr w:type="gramEnd"/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Топ-50: приказ Минтруда и соцзащиты РФ № 831 «Об утверждении </w:t>
                        </w: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>списка 50 наиболее востребованных на рынке труда, новых и перспективных профессий, требующих среднего профессионального образования».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Федеральные учебно-методические объединения в СПО (ФУМО).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Демонстрационный экзамен в соответствии с ФГОС СПО. Модели реализации. Обеспечение проведения ДЭ.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Актуализация ФГОС СПО в условиях реформирования ведомств системы образования. Примерные основные образовательные программы СПО (ПООП СПО). Аккредитация экспертов и площадки для реализации ДЭ.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Внедрение ДЭ в промежуточную аттестацию и ГИА: правовые аспекты.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Модели реализации ДЭ: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WorldSkills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(WS) и Независимая оценка квалификации (НОК).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Основные различия процедур и результатов WS и НОК.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Материально-техническая база для демонстрационного экзамена. Методические рекомендации по оснащению ОУ СПО материально-технической базой по приоритетным группам компетенций. Оформление субсидий на оснащение: особенности составления конкурсной документации.</w:t>
                        </w:r>
                      </w:p>
                      <w:p w:rsidR="007A6783" w:rsidRPr="007A6783" w:rsidRDefault="007A6783" w:rsidP="007A6783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Локальные акты учреждения СПО по организации и проведению ДЭ. Разработка производственного календаря проведения ДЭ. Процедура апелляции.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Организация проведения демонстрационного экзамена по стандартам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WorldSkills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Принципы и стандарты WS. Перечень компетенций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WorldSkills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Russia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(WSR). Паспорт компетенций (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Skills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Pasport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Региональные координационные центры. Центр проведения демонстрационного экзамена по стандартам WS. Дорожная карта по реализации проектов и программ Движения «Молодые профессионалы» (WS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Russia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) на территории Российской Федерации.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Нормативно-методическое сопровождение ДЭ по стандартам WS. Технология разработки конкурсной документации по компетенциям WSR, их интеграция в итоговую аттестацию в формате ДЭ.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Экспертное сообщество WSR, порядок сертификации экспертов. Академия WS.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Требования к проведению ДЭ. Процедура проведения ДЭ.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Skill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Management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Plan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(SMP). Подготовка студентов к сдаче ДЭ по стандартам WSR. Структура оценочных сре</w:t>
                        </w:r>
                        <w:proofErr w:type="gram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дств дл</w:t>
                        </w:r>
                        <w:proofErr w:type="gram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я проведения ДЭ. Регистрация сведений ДЭ в системах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eSIM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, CIS.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Техника безопасности и охрана труда.</w:t>
                        </w:r>
                      </w:p>
                      <w:p w:rsidR="007A6783" w:rsidRPr="007A6783" w:rsidRDefault="007A6783" w:rsidP="007A6783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Риски ГИА по модели </w:t>
                        </w:r>
                        <w:proofErr w:type="spell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WorldSkills</w:t>
                        </w:r>
                        <w:proofErr w:type="spell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b/>
                            <w:bCs/>
                            <w:color w:val="333333"/>
                            <w:sz w:val="24"/>
                            <w:szCs w:val="24"/>
                            <w:u w:val="single"/>
                            <w:lang w:eastAsia="ru-RU"/>
                          </w:rPr>
                          <w:t>Организация проведения демонстрационного экзамена по модели Независимой оценки квалификации (НОК).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Федеральный закон № 238-ФЗ «О независимой оценке квалификации». </w:t>
                        </w: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>Организационная схема НОК. Национальное агентство развития квалификаций. Центры оценки квалификаций (ЦОК).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Процедура проведения ДЭ по модели НОК.</w:t>
                        </w:r>
                      </w:p>
                      <w:p w:rsidR="007A6783" w:rsidRPr="007A6783" w:rsidRDefault="007A6783" w:rsidP="000A1D39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Оценочные средства ЦОК (Приказ Минтруда России № 601н «Об утверждении Положения о разработке оценочных сре</w:t>
                        </w:r>
                        <w:proofErr w:type="gramStart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дств дл</w:t>
                        </w:r>
                        <w:proofErr w:type="gramEnd"/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я проведения независимой оценки квалификации»).</w:t>
                        </w:r>
                      </w:p>
                      <w:p w:rsidR="007A6783" w:rsidRPr="007A6783" w:rsidRDefault="007A6783" w:rsidP="007A6783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300" w:lineRule="atLeast"/>
                          <w:ind w:left="543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Cambria" w:eastAsia="Times New Roman" w:hAnsi="Cambri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Основные подходы к сопряжению НОК и ГИА.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Стоимость курса составляет с человека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u w:val="single"/>
                            <w:lang w:eastAsia="ru-RU"/>
                          </w:rPr>
                          <w:t>: 4 950 рублей</w:t>
                        </w:r>
                        <w:r w:rsidRPr="007A6783">
                          <w:rPr>
                            <w:rFonts w:ascii="Calibri Light" w:eastAsia="Times New Roman" w:hAnsi="Calibri Light" w:cs="Helvetica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Заявку подать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u w:val="single"/>
                            <w:lang w:eastAsia="ru-RU"/>
                          </w:rPr>
                          <w:t>03 марта 2021 года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, мест ограниченное количество!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 xml:space="preserve">Для участников которые хотят участвовать как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физ</w:t>
                        </w: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.л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>ицо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B050"/>
                            <w:sz w:val="21"/>
                            <w:szCs w:val="21"/>
                            <w:lang w:eastAsia="ru-RU"/>
                          </w:rPr>
                          <w:t xml:space="preserve"> скидка 10%.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ru-RU"/>
                          </w:rPr>
                          <w:t>Регистрационный взнос включает: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- Эксклюзивные материалы, которых нет в общем доступе, подготовленные экспертом;</w:t>
                        </w: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- комплект информационно-справочных материалов по тематике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вебинара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(презентация и видеозапись). Видеозапись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вебинара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 позволит Вам без дополнительных затрат обучить специалистов своего учреждения и освежить свои знания;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2060"/>
                            <w:sz w:val="21"/>
                            <w:szCs w:val="21"/>
                            <w:lang w:eastAsia="ru-RU"/>
                          </w:rPr>
                          <w:t>- 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возможность задать свои вопросы эксперту;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- Диплом/сертификат участника предоставляется в электронном виде.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ru-RU"/>
                          </w:rPr>
                          <w:t>Для оформления финансовых документов необходимо:</w:t>
                        </w:r>
                      </w:p>
                      <w:tbl>
                        <w:tblPr>
                          <w:tblW w:w="8047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47"/>
                        </w:tblGrid>
                        <w:tr w:rsidR="007A6783" w:rsidRPr="007A6783" w:rsidTr="006D3CD8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804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90936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A67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При возникновении вопросов, обращайтесь </w:t>
                              </w:r>
                              <w:proofErr w:type="gramStart"/>
                              <w:r w:rsidRPr="007A67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</w:t>
                              </w:r>
                              <w:proofErr w:type="gramEnd"/>
                              <w:r w:rsidRPr="007A67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Руководителю проекта</w:t>
                              </w:r>
                            </w:p>
                            <w:p w:rsidR="00090936" w:rsidRDefault="007A6783" w:rsidP="007A6783">
                              <w:pPr>
                                <w:spacing w:before="100" w:beforeAutospacing="1" w:after="100" w:afterAutospacing="1" w:line="240" w:lineRule="auto"/>
                                <w:ind w:right="-43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Вязникова</w:t>
                              </w:r>
                              <w:proofErr w:type="spellEnd"/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Елена Сергеевна, тел.89092185005, 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ind w:right="-43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0A1D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e-mail:</w:t>
                              </w:r>
                              <w:r w:rsidR="00090936" w:rsidRPr="000A1D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7A67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  <w:t>tanja.semynina@yandex.ru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6783" w:rsidRPr="007A6783" w:rsidRDefault="007A6783" w:rsidP="007A678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vanish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8756" w:type="dxa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2"/>
                          <w:gridCol w:w="5634"/>
                        </w:tblGrid>
                        <w:tr w:rsidR="007A6783" w:rsidRPr="007A6783" w:rsidTr="007A6783">
                          <w:trPr>
                            <w:trHeight w:val="975"/>
                            <w:tblCellSpacing w:w="7" w:type="dxa"/>
                          </w:trPr>
                          <w:tc>
                            <w:tcPr>
                              <w:tcW w:w="8728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ЗАЯВКА НА УЧАСТИЕ В ВЕБИНАРЕ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975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7365D"/>
                                  <w:sz w:val="24"/>
                                  <w:szCs w:val="24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7365D"/>
                                  <w:sz w:val="24"/>
                                  <w:szCs w:val="24"/>
                                  <w:lang w:eastAsia="ru-RU"/>
                                </w:rPr>
                                <w:t xml:space="preserve"> 11 марта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«Демонстрационный экзамен как новый формат подведения итогов обучения в профессиональных образовательных организациях 2021г»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1230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Наименование организации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Почтовый адрес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405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Реквизиты организации (ИНН/КПП)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Банковские реквизиты (расчётный счет, БИК)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1680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Ф.И.О. контактного (ответственного) лица, номер телефона, адрес электронной почты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885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Ф.И.О. Руководителя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7A6783" w:rsidRPr="007A6783" w:rsidTr="007A6783">
                          <w:trPr>
                            <w:trHeight w:val="1815"/>
                            <w:tblCellSpacing w:w="7" w:type="dxa"/>
                          </w:trPr>
                          <w:tc>
                            <w:tcPr>
                              <w:tcW w:w="310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Ф.И.О. участника </w:t>
                              </w: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(полностью)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Должность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Номер сотового телефона, адрес электронной почты</w:t>
                              </w:r>
                            </w:p>
                          </w:tc>
                          <w:tc>
                            <w:tcPr>
                              <w:tcW w:w="561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A6783" w:rsidRPr="007A6783" w:rsidRDefault="007A6783" w:rsidP="007A678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A6783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 xml:space="preserve">Заявку подавать на </w:t>
                        </w: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эл</w:t>
                        </w:r>
                        <w:proofErr w:type="gramStart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.п</w:t>
                        </w:r>
                        <w:proofErr w:type="gramEnd"/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очту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ru-RU"/>
                          </w:rPr>
                          <w:t> tanja.semynina@yandex.ru</w:t>
                        </w:r>
                      </w:p>
                      <w:p w:rsidR="007A6783" w:rsidRPr="007A6783" w:rsidRDefault="007A6783" w:rsidP="006D3CD8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Полные реквизиты вашей организации, включая юридический адрес.</w:t>
                        </w:r>
                      </w:p>
                      <w:p w:rsidR="007A6783" w:rsidRPr="007A6783" w:rsidRDefault="007A6783" w:rsidP="006D3CD8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300" w:lineRule="atLeast"/>
                          <w:ind w:left="401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Фамилию, имя, отчество, должность и контакты участников или заполнить талон заявки </w:t>
                        </w:r>
                        <w:r w:rsidRPr="007A6783">
                          <w:rPr>
                            <w:rFonts w:ascii="Arial" w:eastAsia="Times New Roman" w:hAnsi="Arial" w:cs="Arial"/>
                            <w:i/>
                            <w:iCs/>
                            <w:color w:val="808080"/>
                            <w:sz w:val="21"/>
                            <w:szCs w:val="21"/>
                            <w:lang w:eastAsia="ru-RU"/>
                          </w:rPr>
                          <w:t>(во вложении)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 и отправить на адрес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17365D"/>
                            <w:sz w:val="21"/>
                            <w:szCs w:val="21"/>
                            <w:lang w:eastAsia="ru-RU"/>
                          </w:rPr>
                          <w:t>: tanja.semynina@yandex.ru</w:t>
                        </w:r>
                      </w:p>
                      <w:p w:rsidR="007A6783" w:rsidRPr="007A6783" w:rsidRDefault="007A6783" w:rsidP="007A6783">
                        <w:pPr>
                          <w:spacing w:before="100" w:beforeAutospacing="1" w:after="100" w:afterAutospacing="1" w:line="300" w:lineRule="atLeast"/>
                          <w:ind w:left="360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  <w:t>             </w:t>
                        </w:r>
                      </w:p>
                      <w:p w:rsidR="007A6783" w:rsidRPr="007A6783" w:rsidRDefault="007A6783" w:rsidP="007A6783">
                        <w:pPr>
                          <w:spacing w:after="0" w:line="15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</w:p>
                      <w:p w:rsidR="007A6783" w:rsidRPr="007A6783" w:rsidRDefault="007A6783" w:rsidP="007A678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Руководитель проекта</w:t>
                        </w:r>
                      </w:p>
                      <w:p w:rsidR="007A6783" w:rsidRPr="007A6783" w:rsidRDefault="007A6783" w:rsidP="007A6783">
                        <w:pPr>
                          <w:spacing w:after="0" w:line="15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  <w:p w:rsidR="007A6783" w:rsidRPr="007A6783" w:rsidRDefault="007A6783" w:rsidP="007A678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Вязникова</w:t>
                        </w:r>
                        <w:proofErr w:type="spellEnd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Елена Сергеевна,</w:t>
                        </w:r>
                      </w:p>
                      <w:p w:rsidR="007A6783" w:rsidRPr="007A6783" w:rsidRDefault="007A6783" w:rsidP="007A678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ел.89092185005,</w:t>
                        </w:r>
                      </w:p>
                      <w:p w:rsidR="007A6783" w:rsidRPr="007A6783" w:rsidRDefault="007A6783" w:rsidP="007A678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7A678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e-mail:</w:t>
                        </w:r>
                        <w:r w:rsidRPr="007A6783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tanja.semynina@yandex.ru</w:t>
                        </w:r>
                        <w:proofErr w:type="spellEnd"/>
                      </w:p>
                      <w:p w:rsidR="007A6783" w:rsidRPr="007A6783" w:rsidRDefault="007A6783" w:rsidP="007A6783">
                        <w:pPr>
                          <w:spacing w:after="0" w:line="150" w:lineRule="atLeast"/>
                          <w:rPr>
                            <w:rFonts w:ascii="Helvetica" w:eastAsia="Times New Roman" w:hAnsi="Helvetica" w:cs="Helvetica"/>
                            <w:color w:val="333333"/>
                            <w:sz w:val="15"/>
                            <w:szCs w:val="15"/>
                            <w:lang w:eastAsia="ru-RU"/>
                          </w:rPr>
                        </w:pPr>
                        <w:r w:rsidRPr="007A6783">
                          <w:rPr>
                            <w:rFonts w:ascii="Helvetica" w:eastAsia="Times New Roman" w:hAnsi="Helvetica" w:cs="Helvetica"/>
                            <w:color w:val="333333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A6783" w:rsidRPr="007A6783" w:rsidRDefault="007A6783" w:rsidP="007A678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6783" w:rsidRPr="007A6783" w:rsidRDefault="007A6783" w:rsidP="007A67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A6783" w:rsidRPr="007A6783" w:rsidRDefault="007A6783" w:rsidP="007A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67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9E17A5" w:rsidRDefault="009E17A5"/>
    <w:sectPr w:rsidR="009E17A5" w:rsidSect="007617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0692"/>
    <w:multiLevelType w:val="multilevel"/>
    <w:tmpl w:val="87F2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B4DC6"/>
    <w:multiLevelType w:val="multilevel"/>
    <w:tmpl w:val="F436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E7B4B"/>
    <w:multiLevelType w:val="multilevel"/>
    <w:tmpl w:val="66F2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55F7F"/>
    <w:multiLevelType w:val="multilevel"/>
    <w:tmpl w:val="8AF0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4235C"/>
    <w:multiLevelType w:val="multilevel"/>
    <w:tmpl w:val="5A4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83"/>
    <w:rsid w:val="00090936"/>
    <w:rsid w:val="000A1D39"/>
    <w:rsid w:val="006D3CD8"/>
    <w:rsid w:val="0076178D"/>
    <w:rsid w:val="007A6783"/>
    <w:rsid w:val="009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783"/>
    <w:rPr>
      <w:b/>
      <w:bCs/>
    </w:rPr>
  </w:style>
  <w:style w:type="character" w:styleId="a5">
    <w:name w:val="Emphasis"/>
    <w:basedOn w:val="a0"/>
    <w:uiPriority w:val="20"/>
    <w:qFormat/>
    <w:rsid w:val="007A67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783"/>
    <w:rPr>
      <w:b/>
      <w:bCs/>
    </w:rPr>
  </w:style>
  <w:style w:type="character" w:styleId="a5">
    <w:name w:val="Emphasis"/>
    <w:basedOn w:val="a0"/>
    <w:uiPriority w:val="20"/>
    <w:qFormat/>
    <w:rsid w:val="007A6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2021-03-02T03:22:00Z</dcterms:created>
  <dcterms:modified xsi:type="dcterms:W3CDTF">2021-03-02T03:32:00Z</dcterms:modified>
</cp:coreProperties>
</file>