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5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837DB8" w:rsidRPr="00837DB8" w:rsidTr="00837DB8"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837DB8" w:rsidRPr="00837DB8">
              <w:tc>
                <w:tcPr>
                  <w:tcW w:w="8250" w:type="dxa"/>
                  <w:hideMark/>
                </w:tcPr>
                <w:tbl>
                  <w:tblPr>
                    <w:tblW w:w="5000" w:type="pct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37DB8" w:rsidRPr="00837DB8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37DB8" w:rsidRPr="00837DB8" w:rsidRDefault="00837DB8" w:rsidP="00837DB8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444444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837DB8" w:rsidRPr="00837DB8">
              <w:tc>
                <w:tcPr>
                  <w:tcW w:w="8250" w:type="dxa"/>
                  <w:hideMark/>
                </w:tcPr>
                <w:tbl>
                  <w:tblPr>
                    <w:tblW w:w="5000" w:type="pct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37DB8" w:rsidRPr="00837DB8">
                          <w:tc>
                            <w:tcPr>
                              <w:tcW w:w="8250" w:type="dxa"/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noProof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anchor distT="0" distB="0" distL="0" distR="0" simplePos="0" relativeHeight="251658240" behindDoc="0" locked="0" layoutInCell="1" allowOverlap="0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5238750" cy="4572000"/>
                                    <wp:effectExtent l="0" t="0" r="0" b="0"/>
                                    <wp:wrapSquare wrapText="bothSides"/>
                                    <wp:docPr id="5" name="Рисунок 5" descr="master-klass-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master-klass-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457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shd w:val="clear" w:color="auto" w:fill="D7DEF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D7DE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37DB8" w:rsidRPr="00837DB8">
                          <w:tc>
                            <w:tcPr>
                              <w:tcW w:w="7800" w:type="dxa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2426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242633"/>
                                  <w:sz w:val="24"/>
                                  <w:szCs w:val="24"/>
                                  <w:lang w:eastAsia="ru-RU"/>
                                </w:rPr>
                                <w:t>31 МАРТА, 10.00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2426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242633"/>
                                  <w:sz w:val="24"/>
                                  <w:szCs w:val="24"/>
                                  <w:lang w:eastAsia="ru-RU"/>
                                </w:rPr>
                                <w:t>МАСТЕР-КЛАСС С. И. ШЕСТОПАЛОВА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37DB8" w:rsidRPr="00837DB8" w:rsidRDefault="00837DB8" w:rsidP="00837DB8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444444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837DB8" w:rsidRPr="00837DB8">
              <w:tc>
                <w:tcPr>
                  <w:tcW w:w="8250" w:type="dxa"/>
                  <w:hideMark/>
                </w:tcPr>
                <w:tbl>
                  <w:tblPr>
                    <w:tblW w:w="5000" w:type="pct"/>
                    <w:shd w:val="clear" w:color="auto" w:fill="D7DEF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D7DE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37DB8" w:rsidRPr="00837DB8">
                          <w:tc>
                            <w:tcPr>
                              <w:tcW w:w="7800" w:type="dxa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outlineLvl w:val="2"/>
                                <w:rPr>
                                  <w:rFonts w:ascii="Segoe UI" w:eastAsia="Times New Roman" w:hAnsi="Segoe UI" w:cs="Segoe UI"/>
                                  <w:color w:val="242633"/>
                                  <w:sz w:val="36"/>
                                  <w:szCs w:val="36"/>
                                  <w:lang w:eastAsia="ru-RU"/>
                                </w:rPr>
                              </w:pPr>
                              <w:bookmarkStart w:id="0" w:name="_GoBack"/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242633"/>
                                  <w:sz w:val="36"/>
                                  <w:szCs w:val="36"/>
                                  <w:lang w:eastAsia="ru-RU"/>
                                </w:rPr>
                                <w:t>«Применение анализатора HIP-плоскости в ежедневной врачебной практике»</w:t>
                              </w:r>
                            </w:p>
                            <w:bookmarkEnd w:id="0"/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37DB8" w:rsidRPr="00837DB8">
                          <w:tc>
                            <w:tcPr>
                              <w:tcW w:w="7800" w:type="dxa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37DB8" w:rsidRPr="00837DB8">
                          <w:tc>
                            <w:tcPr>
                              <w:tcW w:w="6750" w:type="dxa"/>
                              <w:tcMar>
                                <w:top w:w="60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Программа однодневного мастер-класса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37DB8" w:rsidRPr="00837DB8">
                          <w:tc>
                            <w:tcPr>
                              <w:tcW w:w="6750" w:type="dxa"/>
                              <w:tcMar>
                                <w:top w:w="30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outlineLvl w:val="0"/>
                                <w:rPr>
                                  <w:rFonts w:ascii="Segoe UI" w:eastAsia="Times New Roman" w:hAnsi="Segoe UI" w:cs="Segoe UI"/>
                                  <w:color w:val="444444"/>
                                  <w:kern w:val="36"/>
                                  <w:sz w:val="54"/>
                                  <w:szCs w:val="54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kern w:val="36"/>
                                  <w:sz w:val="24"/>
                                  <w:szCs w:val="24"/>
                                  <w:lang w:eastAsia="ru-RU"/>
                                </w:rPr>
                                <w:t>Теоретическая часть</w:t>
                              </w:r>
                            </w:p>
                            <w:p w:rsidR="00837DB8" w:rsidRPr="00837DB8" w:rsidRDefault="00837DB8" w:rsidP="00837DB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 xml:space="preserve">Использование в практической работе врача-стоматолога различных ориентировочных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цефалометрических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 плоскостей: Франкфуртская плоскость,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Камперовская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 горизонталь, HIP-плоскость.</w:t>
                              </w:r>
                            </w:p>
                            <w:p w:rsidR="00837DB8" w:rsidRPr="00837DB8" w:rsidRDefault="00837DB8" w:rsidP="00837DB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Оценка положения верхнечелюстного комплекса — основа планирования ортопедического и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ортодонтического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 лечения.</w:t>
                              </w:r>
                            </w:p>
                            <w:p w:rsidR="00837DB8" w:rsidRPr="00837DB8" w:rsidRDefault="00837DB8" w:rsidP="00837DB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Применение анализатора HIP-плоскости в диагностике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гнатических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 (скелетных) и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зубо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-альвеолярных деформаций (авторская разработка).</w:t>
                              </w:r>
                            </w:p>
                            <w:p w:rsidR="00837DB8" w:rsidRPr="00837DB8" w:rsidRDefault="00837DB8" w:rsidP="00837DB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Методики точного переноса положения верхней челюсти в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артикулятор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 (лицевая дуга, столик LVI, анализатор HIP-плоскости).</w:t>
                              </w:r>
                            </w:p>
                            <w:p w:rsidR="00837DB8" w:rsidRPr="00837DB8" w:rsidRDefault="00837DB8" w:rsidP="00837DB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Взаимосвязь стоматологического статуса и осанки, а также стоматологического и остеопатического лечения.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Практическая часть</w:t>
                              </w:r>
                            </w:p>
                            <w:p w:rsidR="00837DB8" w:rsidRPr="00837DB8" w:rsidRDefault="00837DB8" w:rsidP="00837DB8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Практическое применение анализатора HIP-плоскости при диагностике положения зубного ряда верхней челюсти и всего верхнечелюстного комплекса (демонстрация и мастер-класс).</w:t>
                              </w:r>
                            </w:p>
                            <w:p w:rsidR="00837DB8" w:rsidRPr="00837DB8" w:rsidRDefault="00837DB8" w:rsidP="00837DB8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Перенос положения верхней челюсти в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артикулятор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 с помощью лицевой дуги, столика LVI, анализатора HIP-плоскости.</w:t>
                              </w:r>
                            </w:p>
                            <w:p w:rsidR="00837DB8" w:rsidRPr="00837DB8" w:rsidRDefault="00837DB8" w:rsidP="00837DB8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Диагностические возможности различных методов оценки положения верхней и нижней челюстей: ОПТГ, КТ ВНЧС, индексы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Шимбачи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 и LVI, нейромышечный метод, признак соответствия.</w:t>
                              </w:r>
                            </w:p>
                            <w:p w:rsidR="00837DB8" w:rsidRPr="00837DB8" w:rsidRDefault="00837DB8" w:rsidP="00837DB8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Особенности переноса положения верхней челюсти в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артикулятор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 xml:space="preserve"> при проведении краниального анализа.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shd w:val="clear" w:color="auto" w:fill="D7DEF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D7DE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37DB8" w:rsidRPr="00837DB8">
                          <w:tc>
                            <w:tcPr>
                              <w:tcW w:w="7800" w:type="dxa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Дата: 31 марта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Время: 10.00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Стоимость 9000 р.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Место: г. Санкт-Петербург, ул.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Глухарская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, 9, ТЦ «Каменка».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shd w:val="clear" w:color="auto" w:fill="EBD109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EBD109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37DB8" w:rsidRPr="00837DB8">
                          <w:tc>
                            <w:tcPr>
                              <w:tcW w:w="8250" w:type="dxa"/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6" w:tgtFrame="_blank" w:tooltip="Записаться на мастер-класс" w:history="1">
                                <w:r w:rsidRPr="00837DB8">
                                  <w:rPr>
                                    <w:rFonts w:ascii="Segoe UI" w:eastAsia="Times New Roman" w:hAnsi="Segoe UI" w:cs="Segoe UI"/>
                                    <w:b/>
                                    <w:bCs/>
                                    <w:color w:val="000000"/>
                                    <w:sz w:val="30"/>
                                    <w:szCs w:val="30"/>
                                    <w:u w:val="single"/>
                                    <w:lang w:eastAsia="ru-RU"/>
                                  </w:rPr>
                                  <w:t>Записаться на мастер-класс</w:t>
                                </w:r>
                              </w:hyperlink>
                            </w:p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37DB8" w:rsidRPr="00837DB8" w:rsidRDefault="00837DB8" w:rsidP="00837DB8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444444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490"/>
            </w:tblGrid>
            <w:tr w:rsidR="00837DB8" w:rsidRPr="00837DB8">
              <w:tc>
                <w:tcPr>
                  <w:tcW w:w="2745" w:type="dxa"/>
                  <w:hideMark/>
                </w:tcPr>
                <w:tbl>
                  <w:tblPr>
                    <w:tblW w:w="5000" w:type="pct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60"/>
                        </w:tblGrid>
                        <w:tr w:rsidR="00837DB8" w:rsidRPr="00837DB8">
                          <w:tc>
                            <w:tcPr>
                              <w:tcW w:w="2145" w:type="dxa"/>
                              <w:tcMar>
                                <w:top w:w="300" w:type="dxa"/>
                                <w:left w:w="450" w:type="dxa"/>
                                <w:bottom w:w="300" w:type="dxa"/>
                                <w:right w:w="150" w:type="dxa"/>
                              </w:tcMar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noProof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drawing>
                                  <wp:anchor distT="0" distB="0" distL="0" distR="0" simplePos="0" relativeHeight="251658240" behindDoc="0" locked="0" layoutInCell="1" allowOverlap="0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362075" cy="3429000"/>
                                    <wp:effectExtent l="0" t="0" r="9525" b="0"/>
                                    <wp:wrapSquare wrapText="bothSides"/>
                                    <wp:docPr id="4" name="Рисунок 4" descr="large_thumb_SHestopalov_Sergey_Ivanovic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large_thumb_SHestopalov_Sergey_Ivanovich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62075" cy="3429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505" w:type="dxa"/>
                  <w:hideMark/>
                </w:tcPr>
                <w:tbl>
                  <w:tblPr>
                    <w:tblW w:w="5000" w:type="pct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90"/>
                        </w:tblGrid>
                        <w:tr w:rsidR="00837DB8" w:rsidRPr="00837DB8">
                          <w:tc>
                            <w:tcPr>
                              <w:tcW w:w="4500" w:type="dxa"/>
                              <w:tcMar>
                                <w:top w:w="300" w:type="dxa"/>
                                <w:left w:w="540" w:type="dxa"/>
                                <w:bottom w:w="300" w:type="dxa"/>
                                <w:right w:w="450" w:type="dxa"/>
                              </w:tcMar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both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>Ведущий мастер-класса – </w:t>
                              </w: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>Шестопалов Сергей Иванович</w:t>
                              </w: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 xml:space="preserve">, к.м.н., MICCMO, Доктор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>Остеопатии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 xml:space="preserve">, стоматолог-ортопед, преподаватель Центра инновационного медицинского образования «Садко», доцент кафедры стоматологии ФДПО ПИМУ, Член Совета Правления российской секции Международного колледжа </w:t>
                              </w: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>краниомандибулярной</w:t>
                              </w:r>
                              <w:proofErr w:type="spellEnd"/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 xml:space="preserve"> ортопедии (ICCMO).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37DB8" w:rsidRPr="00837DB8" w:rsidRDefault="00837DB8" w:rsidP="00837DB8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444444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837DB8" w:rsidRPr="00837DB8">
              <w:tc>
                <w:tcPr>
                  <w:tcW w:w="8250" w:type="dxa"/>
                  <w:hideMark/>
                </w:tcPr>
                <w:tbl>
                  <w:tblPr>
                    <w:tblW w:w="5000" w:type="pct"/>
                    <w:shd w:val="clear" w:color="auto" w:fill="BDBDA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BDBDA8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37DB8" w:rsidRPr="00837DB8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0"/>
                                <w:gridCol w:w="510"/>
                                <w:gridCol w:w="510"/>
                              </w:tblGrid>
                              <w:tr w:rsidR="00837DB8" w:rsidRPr="00837DB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37DB8" w:rsidRPr="00837DB8" w:rsidRDefault="00837DB8" w:rsidP="00837DB8">
                                    <w:pPr>
                                      <w:spacing w:after="0" w:line="480" w:lineRule="atLeast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37DB8"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0089BF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28600" cy="228600"/>
                                          <wp:effectExtent l="0" t="0" r="0" b="0"/>
                                          <wp:docPr id="3" name="Рисунок 3" descr="Instagram">
                                            <a:hlinkClick xmlns:a="http://schemas.openxmlformats.org/drawingml/2006/main" r:id="rId8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Instagram">
                                                    <a:hlinkClick r:id="rId8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8600" cy="228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37DB8" w:rsidRPr="00837DB8" w:rsidRDefault="00837DB8" w:rsidP="00837DB8">
                                    <w:pPr>
                                      <w:spacing w:after="0" w:line="480" w:lineRule="atLeast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37DB8"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0089BF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28600" cy="228600"/>
                                          <wp:effectExtent l="0" t="0" r="0" b="0"/>
                                          <wp:docPr id="2" name="Рисунок 2" descr="Вконтакте">
                                            <a:hlinkClick xmlns:a="http://schemas.openxmlformats.org/drawingml/2006/main" r:id="rId10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Вконтакте">
                                                    <a:hlinkClick r:id="rId10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8600" cy="228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837DB8" w:rsidRPr="00837DB8" w:rsidRDefault="00837DB8" w:rsidP="00837DB8">
                                    <w:pPr>
                                      <w:spacing w:after="0" w:line="480" w:lineRule="atLeast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37DB8"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0089BF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28600" cy="228600"/>
                                          <wp:effectExtent l="0" t="0" r="0" b="0"/>
                                          <wp:docPr id="1" name="Рисунок 1" descr="YouTube">
                                            <a:hlinkClick xmlns:a="http://schemas.openxmlformats.org/drawingml/2006/main" r:id="rId12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YouTube">
                                                    <a:hlinkClick r:id="rId12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8600" cy="228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37DB8" w:rsidRPr="00837DB8" w:rsidRDefault="00837DB8" w:rsidP="00837DB8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37DB8" w:rsidRPr="00837DB8" w:rsidRDefault="00837DB8" w:rsidP="00837DB8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444444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837DB8" w:rsidRPr="00837DB8">
              <w:tc>
                <w:tcPr>
                  <w:tcW w:w="8250" w:type="dxa"/>
                  <w:hideMark/>
                </w:tcPr>
                <w:tbl>
                  <w:tblPr>
                    <w:tblW w:w="5000" w:type="pct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37DB8" w:rsidRPr="00837DB8"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37DB8" w:rsidRPr="00837DB8">
                          <w:tc>
                            <w:tcPr>
                              <w:tcW w:w="7350" w:type="dxa"/>
                              <w:tcMar>
                                <w:top w:w="450" w:type="dxa"/>
                                <w:left w:w="450" w:type="dxa"/>
                                <w:bottom w:w="0" w:type="dxa"/>
                                <w:right w:w="450" w:type="dxa"/>
                              </w:tcMar>
                              <w:hideMark/>
                            </w:tcPr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>© Школа зубных техников, 2022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 xml:space="preserve">8 (800) 775 </w:t>
                              </w:r>
                              <w:proofErr w:type="gramStart"/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>8582  8</w:t>
                              </w:r>
                              <w:proofErr w:type="gramEnd"/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 xml:space="preserve"> (812) 4567 207</w:t>
                              </w:r>
                            </w:p>
                            <w:p w:rsidR="00837DB8" w:rsidRPr="00837DB8" w:rsidRDefault="00837DB8" w:rsidP="00837DB8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837DB8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  <w:lang w:eastAsia="ru-RU"/>
                                </w:rPr>
                                <w:t>школазубныхтехников.рф</w:t>
                              </w:r>
                              <w:proofErr w:type="spellEnd"/>
                            </w:p>
                          </w:tc>
                        </w:tr>
                      </w:tbl>
                      <w:p w:rsidR="00837DB8" w:rsidRPr="00837DB8" w:rsidRDefault="00837DB8" w:rsidP="00837DB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37DB8" w:rsidRPr="00837DB8" w:rsidRDefault="00837DB8" w:rsidP="00837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37DB8" w:rsidRPr="00837DB8" w:rsidRDefault="00837DB8" w:rsidP="00837DB8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606ABB" w:rsidRDefault="00606ABB"/>
    <w:sectPr w:rsidR="0060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605E6"/>
    <w:multiLevelType w:val="multilevel"/>
    <w:tmpl w:val="D2BA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2628E"/>
    <w:multiLevelType w:val="multilevel"/>
    <w:tmpl w:val="370E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4A"/>
    <w:rsid w:val="0006134A"/>
    <w:rsid w:val="00606ABB"/>
    <w:rsid w:val="008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07F10-D481-4CA8-9D61-20C241A2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7D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7D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DB8"/>
    <w:rPr>
      <w:b/>
      <w:bCs/>
    </w:rPr>
  </w:style>
  <w:style w:type="character" w:styleId="a5">
    <w:name w:val="Hyperlink"/>
    <w:basedOn w:val="a0"/>
    <w:uiPriority w:val="99"/>
    <w:semiHidden/>
    <w:unhideWhenUsed/>
    <w:rsid w:val="00837DB8"/>
    <w:rPr>
      <w:color w:val="0000FF"/>
      <w:u w:val="single"/>
    </w:rPr>
  </w:style>
  <w:style w:type="character" w:customStyle="1" w:styleId="js-phone-number">
    <w:name w:val="js-phone-number"/>
    <w:basedOn w:val="a0"/>
    <w:rsid w:val="00837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7220736.sendpul.se/sl/MjM0Nzk4NTI=/d4909298187f8455e0256464aa61a000829fes4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s7220736.sendpul.se/sl/MjM0Nzk4NTQ=/d4909298187f8455e0256464aa61a000829fes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7220736.sendpul.se/sl/MjM0Nzk4NTE=/d4909298187f8455e0256464aa61a000829fes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7220736.sendpul.se/sl/MjM0Nzk4NTM=/d4909298187f8455e0256464aa61a000829fes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2022-02-18T11:46:00Z</dcterms:created>
  <dcterms:modified xsi:type="dcterms:W3CDTF">2022-02-18T11:46:00Z</dcterms:modified>
</cp:coreProperties>
</file>